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right"/>
        <w:rPr>
          <w:rFonts w:hint="eastAsia" w:ascii="Times New Roman" w:hAnsi="Times New Roman" w:cs="Times New Roman"/>
          <w:lang w:val="en-US" w:eastAsia="zh-CN"/>
        </w:rPr>
      </w:pPr>
    </w:p>
    <w:p>
      <w:pPr>
        <w:bidi w:val="0"/>
        <w:jc w:val="right"/>
        <w:rPr>
          <w:rFonts w:hint="eastAsia" w:ascii="Times New Roman" w:hAnsi="Times New Roman" w:cs="Times New Roman"/>
          <w:lang w:val="en-US" w:eastAsia="zh-CN"/>
        </w:rPr>
      </w:pPr>
    </w:p>
    <w:p>
      <w:pPr>
        <w:bidi w:val="0"/>
        <w:jc w:val="right"/>
        <w:rPr>
          <w:rFonts w:hint="eastAsia" w:ascii="Times New Roman" w:hAnsi="Times New Roman" w:cs="Times New Roman"/>
          <w:lang w:val="en-US" w:eastAsia="zh-CN"/>
        </w:rPr>
      </w:pPr>
    </w:p>
    <w:p>
      <w:pPr>
        <w:bidi w:val="0"/>
        <w:jc w:val="right"/>
        <w:rPr>
          <w:rFonts w:hint="eastAsia" w:ascii="Times New Roman" w:hAnsi="Times New Roman" w:cs="Times New Roman"/>
          <w:lang w:val="en-US" w:eastAsia="zh-CN"/>
        </w:rPr>
      </w:pPr>
    </w:p>
    <w:p>
      <w:pPr>
        <w:bidi w:val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川经信</w:t>
      </w:r>
      <w:r>
        <w:rPr>
          <w:rFonts w:hint="eastAsia" w:ascii="Times New Roman" w:hAnsi="Times New Roman" w:cs="Times New Roman"/>
          <w:lang w:val="en-US" w:eastAsia="zh-CN"/>
        </w:rPr>
        <w:t>数信</w:t>
      </w:r>
      <w:r>
        <w:rPr>
          <w:rFonts w:hint="eastAsia" w:ascii="Times New Roman" w:hAnsi="Times New Roman" w:cs="Times New Roman"/>
          <w:lang w:val="en-US" w:eastAsia="zh-CN"/>
        </w:rPr>
        <w:t>函〔2023〕</w:t>
      </w:r>
      <w:r>
        <w:rPr>
          <w:rFonts w:hint="eastAsia" w:ascii="Times New Roman" w:hAnsi="Times New Roman" w:cs="Times New Roman"/>
          <w:lang w:val="en-US" w:eastAsia="zh-CN"/>
        </w:rPr>
        <w:t>245</w:t>
      </w:r>
      <w:r>
        <w:rPr>
          <w:rFonts w:hint="eastAsia" w:ascii="Times New Roman" w:hAnsi="Times New Roman" w:cs="Times New Roman"/>
          <w:lang w:val="en-US" w:eastAsia="zh-CN"/>
        </w:rPr>
        <w:t>号</w:t>
      </w: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48"/>
          <w:kern w:val="0"/>
          <w:sz w:val="44"/>
          <w:szCs w:val="44"/>
          <w:fitText w:val="5280" w:id="0"/>
          <w:lang w:val="en-US" w:eastAsia="zh-CN"/>
        </w:rPr>
        <w:t>四川省经济和信息化</w:t>
      </w:r>
      <w:r>
        <w:rPr>
          <w:rFonts w:hint="eastAsia" w:ascii="Times New Roman" w:hAnsi="Times New Roman" w:eastAsia="方正小标宋_GBK" w:cs="方正小标宋_GBK"/>
          <w:spacing w:val="8"/>
          <w:kern w:val="0"/>
          <w:sz w:val="44"/>
          <w:szCs w:val="44"/>
          <w:fitText w:val="5280" w:id="0"/>
          <w:lang w:val="en-US" w:eastAsia="zh-CN"/>
        </w:rPr>
        <w:t>厅</w:t>
      </w:r>
    </w:p>
    <w:p>
      <w:pPr>
        <w:bidi w:val="0"/>
        <w:ind w:left="0" w:leftChars="0" w:right="0" w:rightChars="0" w:firstLine="0" w:firstLineChars="0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重庆市经济和信息化委员会</w:t>
      </w:r>
    </w:p>
    <w:p>
      <w:pPr>
        <w:bidi w:val="0"/>
        <w:ind w:left="0" w:leftChars="0" w:right="0" w:rightChars="0" w:firstLine="0" w:firstLineChars="0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关于印发2023年成渝地区工业互联网一体化发展示范区建设工作要点的通知</w:t>
      </w:r>
    </w:p>
    <w:p>
      <w:pPr>
        <w:bidi w:val="0"/>
        <w:ind w:left="0" w:leftChars="0" w:firstLine="0" w:firstLineChars="0"/>
        <w:rPr>
          <w:rFonts w:hint="default" w:ascii="Times New Roman" w:hAnsi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四川省各市（州）经济和信息化局；重庆市各区县（自治县）经济信息委，两江新区、西部科学城重庆高新区、万盛经开区经信部门；各有关单位：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为加快推进成渝地区工业互联网一体化发展示范区建设，按照《成渝地区双城经济圈建设规划纲要》《共建成渝地区工业互联网一体化发展示范区实施方案》有关要求，四川省经济和信息化厅、重庆市经济和信息化委员会联合制定了《2023年成渝地区工业互联网一体化发展示范区建设工作要点》，现印发给你们，请结合实际抓好贯彻落实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bidi w:val="0"/>
        <w:ind w:left="1600" w:leftChars="200" w:hanging="960" w:hangingChars="30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附件：2023年成渝地区工业互联网一体化发展示范区建设工作要点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四川省经济和信息化厅    重庆市经济和信息化委员会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right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2023年4月20日       </w:t>
      </w: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both"/>
        <w:rPr>
          <w:rFonts w:hint="eastAsia" w:ascii="Times New Roman" w:hAnsi="Times New Roman" w:eastAsia="黑体" w:cs="黑体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br w:type="page"/>
      </w:r>
      <w:r>
        <w:rPr>
          <w:rFonts w:hint="eastAsia" w:ascii="Times New Roman" w:hAnsi="Times New Roman" w:eastAsia="方正黑体_GBK" w:cs="方正黑体_GBK"/>
          <w:lang w:val="en-US" w:eastAsia="zh-CN"/>
        </w:rPr>
        <w:t>附件</w:t>
      </w: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2023年成渝地区工业互联网一体化发展</w:t>
      </w:r>
    </w:p>
    <w:p>
      <w:pPr>
        <w:bidi w:val="0"/>
        <w:ind w:left="0" w:leftChars="0" w:right="0" w:rightChars="0" w:firstLine="0" w:firstLineChars="0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示范区建设工作要点</w:t>
      </w: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2023年，坚持以习近平新时代中国特色社会主义思想为指导，全面贯彻党的二十大精神，聚焦“一极一源、两中心两地”目标定位，发挥新型工业化主导、信息化牵引作用，突出双城引领、双圈互动，打造全国工业互联网创新发展高地，推动成渝地区双城经济圈建设整体成势。</w:t>
      </w:r>
    </w:p>
    <w:p>
      <w:pPr>
        <w:bidi w:val="0"/>
        <w:rPr>
          <w:rFonts w:hint="eastAsia" w:ascii="Times New Roman" w:hAnsi="Times New Roman" w:eastAsia="方正黑体_GBK" w:cs="方正黑体_GBK"/>
          <w:lang w:val="en-US" w:eastAsia="zh-CN"/>
        </w:rPr>
      </w:pPr>
      <w:r>
        <w:rPr>
          <w:rFonts w:hint="eastAsia" w:ascii="Times New Roman" w:hAnsi="Times New Roman" w:eastAsia="方正黑体_GBK" w:cs="方正黑体_GBK"/>
          <w:lang w:val="en-US" w:eastAsia="zh-CN"/>
        </w:rPr>
        <w:t>一、强化数字基础设施建设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（一）共同推进内外网升</w:t>
      </w:r>
      <w:bookmarkStart w:id="0" w:name="_GoBack"/>
      <w:bookmarkEnd w:id="0"/>
      <w:r>
        <w:rPr>
          <w:rFonts w:hint="eastAsia" w:ascii="Times New Roman" w:hAnsi="Times New Roman" w:eastAsia="方正楷体_GBK" w:cs="方正楷体_GBK"/>
          <w:lang w:val="en-US" w:eastAsia="zh-CN"/>
        </w:rPr>
        <w:t>级改造。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1.持续推进5G和千兆光网规模部署，加快建设工业互联网园区网络，打造成渝地区“千兆城市群”。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2.支持成渝地区工业企业综合运用5G、时间敏感网络（TSN）、边缘计算等技术，开展工业哑设备网络互联能力改造，提升生产各环节网络化水平。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3.支持成渝地区工业企业与基础电信企业深度合作，深化“5G+工业互联网”融合应用，推动5G应用向生产制造核心环节拓展，打造一批重点行业、重点领域典型工业应用场景，形成15个“5G+工业互联网”示范项目。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（二）推进先进算力部署应用。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4.加快全国一体化算力网络成渝枢纽节点建设，增强数据中心集群核心承载能力，推动成渝地区算力资源统筹联动和优化配置。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5.加快落地国家工业互联网大数据四川分中心，与重庆分中心强化联动，推动重点细分行业数据资源采集、治理、共享，构建跨区域、跨行业的工业大数据共享、应用基础。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（三）加快完善标识解析体系。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6.鼓励成渝地区工业互联网标识解析二级节点接入国家顶级节点（重庆），提升国家顶级节点（成都托管与灾备节点）运营服务能力，推动国家“星火·链网”超级节点落地见效，加速构建“一顶一备”标识战略生态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7.持续推动行业节点规模化应用推广，共建共用白酒、家具制造、电动摩托车等行业节点，规范成渝地区工业互联网标识解析二级节点许可管理，新增建设9个二级节点。</w:t>
      </w:r>
    </w:p>
    <w:p>
      <w:pPr>
        <w:bidi w:val="0"/>
        <w:rPr>
          <w:rFonts w:hint="eastAsia" w:ascii="Times New Roman" w:hAnsi="Times New Roman" w:eastAsia="方正黑体_GBK" w:cs="方正黑体_GBK"/>
          <w:lang w:val="en-US" w:eastAsia="zh-CN"/>
        </w:rPr>
      </w:pPr>
      <w:r>
        <w:rPr>
          <w:rFonts w:hint="eastAsia" w:ascii="Times New Roman" w:hAnsi="Times New Roman" w:eastAsia="方正黑体_GBK" w:cs="方正黑体_GBK"/>
          <w:lang w:val="en-US" w:eastAsia="zh-CN"/>
        </w:rPr>
        <w:t>二、打造多层次平台赋能体系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（四）共同培育工业互联网平台。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8.共同培育综合型工业互联网平台，开展跨区域技术合作对接、解决方案输出和人才技能培训，推动多行业、多领域资源要素开放共享，重点提升2个综合型工业互联网平台公共服务能力。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9.共同培育专业特色型工业互联网平台，引导企业围绕电子信息、汽车制造、装备制造、食品轻纺、先进材料、能源化工、医药健康等优势产业，加速培育“平台+园区”“平台+基地”“平台+集群”等制造新模式，推动专业特色型工业互联网平台规模化应用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（五）加快提升平台服务能力。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10.深入推进企业上云用云，支持平台面向中小企业差异化需求研制低成本、低门槛、易部署的轻量化应用，推动生产设备、业务系统上云，提升中小企业数字化核心竞争力，新增上云企业4万户。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11.加快成渝地区双城经济圈产业数字化赋能基地落地联动，强化成渝地区工业互联网一体化公共服务平台应用推广，发挥成渝地区工业互联网及智能制造资源池服务效能，集聚一批数字化转型服务商，打造一站式数字化转型服务。</w:t>
      </w:r>
    </w:p>
    <w:p>
      <w:pPr>
        <w:bidi w:val="0"/>
        <w:rPr>
          <w:rFonts w:hint="eastAsia" w:ascii="Times New Roman" w:hAnsi="Times New Roman" w:eastAsia="方正黑体_GBK" w:cs="方正黑体_GBK"/>
          <w:lang w:val="en-US" w:eastAsia="zh-CN"/>
        </w:rPr>
      </w:pPr>
      <w:r>
        <w:rPr>
          <w:rFonts w:hint="eastAsia" w:ascii="Times New Roman" w:hAnsi="Times New Roman" w:eastAsia="方正黑体_GBK" w:cs="方正黑体_GBK"/>
          <w:lang w:val="en-US" w:eastAsia="zh-CN"/>
        </w:rPr>
        <w:t>三、深化产业赋能支撑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（六）加快完善技术标准体系。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12.发挥成渝地区产学研用各方和联盟协会作用，组建工业互联网战略咨询专家委员会，推广两化融合管理体系，开展工业大数据、工业机理与组件、工业数字孪生等领域标准制修订和应用验证。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（七）强化工业软件协同攻关。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13.联合加强成渝地区工业APP培育，创建四川省工业软件创新中心，发挥国家级工业软件协同攻关和体验推广中心载体作用，推动工业企业需求与工业APP产品对接落地。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（八）释放工业数据要素价值。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14.强化成渝地区数据资源配置，探索工业企业数据资产化管理，共同培育一批工业领域数据商和第三方专业服务机构，推动企业数据管理能力成熟度（DCMM）标准推广。</w:t>
      </w:r>
    </w:p>
    <w:p>
      <w:pPr>
        <w:bidi w:val="0"/>
        <w:rPr>
          <w:rFonts w:hint="eastAsia" w:ascii="Times New Roman" w:hAnsi="Times New Roman" w:eastAsia="方正黑体_GBK" w:cs="方正黑体_GBK"/>
          <w:lang w:val="en-US" w:eastAsia="zh-CN"/>
        </w:rPr>
      </w:pPr>
      <w:r>
        <w:rPr>
          <w:rFonts w:hint="eastAsia" w:ascii="Times New Roman" w:hAnsi="Times New Roman" w:eastAsia="方正黑体_GBK" w:cs="方正黑体_GBK"/>
          <w:lang w:val="en-US" w:eastAsia="zh-CN"/>
        </w:rPr>
        <w:t>四、筑牢工业领域网络和数据安全保障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（九）增强网络安全防护能力。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15.加强重点行业网络安全防护，定期开展网络安全应急攻防演练，优化升级工业互联网安全态势感知平台，强化安全协同保障及应急处置能力。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16.推进工业互联网企业网络安全分类分级管理。指导监督企业开展自主定级、定级备案、风险评估、监测预警等工作，明确企业网络安全主体责任，提升工业互联网企业网络安全水平。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17.持续推动国家网络安全产业园区（成渝地区）建设，重点布局工业互联网安全、车联网安全、商用密码应用、网络安全服务等方向。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（十）提升数据安全保护水平。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18.深入推进成渝地区工业领域数据安全管理。完善工业领域数据安全管理体系，健全数据安全保障机制，提升数据安全分类分级管理水平。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19.推动数据安全产业发展，完善重点企业清单和重要数据保护目录，培育数据安全优质企业，推广应用数据安全新技术、新产品，打造成渝地区数据安全产业集群。</w:t>
      </w:r>
    </w:p>
    <w:p>
      <w:pPr>
        <w:bidi w:val="0"/>
        <w:rPr>
          <w:rFonts w:hint="eastAsia" w:ascii="Times New Roman" w:hAnsi="Times New Roman" w:eastAsia="方正黑体_GBK" w:cs="方正黑体_GBK"/>
          <w:lang w:val="en-US" w:eastAsia="zh-CN"/>
        </w:rPr>
      </w:pPr>
      <w:r>
        <w:rPr>
          <w:rFonts w:hint="eastAsia" w:ascii="Times New Roman" w:hAnsi="Times New Roman" w:eastAsia="方正黑体_GBK" w:cs="方正黑体_GBK"/>
          <w:lang w:val="en-US" w:eastAsia="zh-CN"/>
        </w:rPr>
        <w:t>五、加快构建协同发展生态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（十一）深化成渝地区产业合作。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20.支持重庆两江新区、涪陵区、九龙坡区、南岸区、北碚区、江津区、梁平区等与四川省成都市、德阳市、绵阳市、遂宁市、宜宾市、达州市、眉山市等加强合作，探索跨行政区组团发展模式建设，以工业互联网推动区域产业协作共兴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21.推动产业链协同发展，共同培育新能源和智能网联汽车、卫星互联网、生物医药等先进制造业集群，建设一批工业互联网领域产业合作示范园区、产业示范基地、实训基地、数字化转型促进中心。</w:t>
      </w:r>
    </w:p>
    <w:p>
      <w:pPr>
        <w:bidi w:val="0"/>
        <w:rPr>
          <w:rFonts w:hint="eastAsia" w:ascii="Times New Roman" w:hAnsi="Times New Roman" w:eastAsia="方正楷体_GBK" w:cs="方正楷体_GBK"/>
          <w:lang w:val="en-US" w:eastAsia="zh-CN"/>
        </w:rPr>
      </w:pPr>
      <w:r>
        <w:rPr>
          <w:rFonts w:hint="eastAsia" w:ascii="Times New Roman" w:hAnsi="Times New Roman" w:eastAsia="方正楷体_GBK" w:cs="方正楷体_GBK"/>
          <w:lang w:val="en-US" w:eastAsia="zh-CN"/>
        </w:rPr>
        <w:t>（十二）共同营造良好发展环境。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22.探索产融对接机制，用好成渝地区双城经济圈工业互联网产业投资基金、四川省数字经济发展基金等，撬动引导社会资本扩大投入，创新信贷、保险、金融等服务模式，推动工业互联网产业发展。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23.组建成渝地区工业互联网产业创新联盟、绵阳北碚工业互联网创新发展联盟，聚集产业生态各方核心力量。编制更新《成渝地区工业互联网典型案例集》，加强工业互联网创新应用成果宣传推广。</w:t>
      </w:r>
    </w:p>
    <w:p>
      <w:pPr>
        <w:bidi w:val="0"/>
        <w:rPr>
          <w:rFonts w:hint="eastAsia" w:ascii="Times New Roman" w:hAnsi="Times New Roman" w:eastAsia="方正仿宋_GBK" w:cs="方正仿宋_GBK"/>
          <w:lang w:val="en-US" w:eastAsia="zh-CN"/>
        </w:rPr>
        <w:sectPr>
          <w:footerReference r:id="rId3" w:type="default"/>
          <w:pgSz w:w="11906" w:h="16838"/>
          <w:pgMar w:top="1701" w:right="1531" w:bottom="1531" w:left="1531" w:header="851" w:footer="1304" w:gutter="0"/>
          <w:pgNumType w:fmt="decimal"/>
          <w:cols w:space="720" w:num="1"/>
          <w:titlePg/>
          <w:rtlGutter w:val="0"/>
          <w:docGrid w:type="lines" w:linePitch="438" w:charSpace="0"/>
        </w:sectPr>
      </w:pPr>
      <w:r>
        <w:rPr>
          <w:rFonts w:hint="eastAsia" w:ascii="Times New Roman" w:hAnsi="Times New Roman" w:eastAsia="方正仿宋_GBK" w:cs="方正仿宋_GBK"/>
          <w:lang w:val="en-US" w:eastAsia="zh-CN"/>
        </w:rPr>
        <w:t>24.举办2023年中国国际智能产业博览会、2023年中国工业互联网标识大会（西部）、成渝地区工业互联网一体化进园区“百城千园行”等国际国内交流活动，凝聚社会各界发展共识。</w:t>
      </w: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Times New Roman" w:hAnsi="Times New Roman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信息公开选项：</w:t>
      </w:r>
      <w:r>
        <w:rPr>
          <w:rFonts w:hint="eastAsia" w:ascii="Times New Roman" w:hAnsi="Times New Roman" w:eastAsia="方正小标宋简体" w:cs="方正小标宋简体"/>
          <w:sz w:val="28"/>
          <w:szCs w:val="28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20" w:firstLineChars="10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368300</wp:posOffset>
            </wp:positionV>
            <wp:extent cx="1628775" cy="552450"/>
            <wp:effectExtent l="0" t="0" r="9525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抄送：</w:t>
      </w:r>
      <w:r>
        <w:rPr>
          <w:rFonts w:hint="eastAsia" w:ascii="Times New Roman" w:hAnsi="Times New Roman" w:cs="仿宋_GB2312"/>
          <w:sz w:val="28"/>
          <w:szCs w:val="28"/>
          <w:lang w:val="en-US" w:eastAsia="zh-CN"/>
        </w:rPr>
        <w:t>工业和信息化部信息技术发展司。</w:t>
      </w:r>
    </w:p>
    <w:p>
      <w:pPr>
        <w:ind w:left="0" w:leftChars="0" w:firstLine="0" w:firstLineChars="0"/>
        <w:rPr>
          <w:rFonts w:ascii="Times New Roman" w:hAnsi="Times New Roman"/>
        </w:rPr>
      </w:pPr>
    </w:p>
    <w:sectPr>
      <w:pgSz w:w="11906" w:h="16838"/>
      <w:pgMar w:top="1701" w:right="1531" w:bottom="1531" w:left="1531" w:header="851" w:footer="1304" w:gutter="0"/>
      <w:pgNumType w:fmt="decimal"/>
      <w:cols w:space="720" w:num="1"/>
      <w:titlePg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firstLine="0" w:firstLineChars="0"/>
      <w:jc w:val="both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7983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2.9pt;mso-position-horizontal:outside;mso-position-horizontal-relative:margin;z-index:251658240;mso-width-relative:page;mso-height-relative:page;" filled="f" stroked="f" coordsize="21600,21600" o:gfxdata="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V4uHXSAAAA&#10;BQEAAA8AAAAAAAAAAQAgAAAAIgAAAGRycy9kb3ducmV2LnhtbFBLAQIUABQAAAAIAIdO4kBSllkV&#10;sQEAAE0DAAAOAAAAAAAAAAEAIAAAACE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ind w:left="0" w:leftChars="0" w:right="0" w:rightChars="0" w:firstLine="0" w:firstLineChars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69F0"/>
    <w:rsid w:val="042D7242"/>
    <w:rsid w:val="21AF250B"/>
    <w:rsid w:val="2C4722D2"/>
    <w:rsid w:val="40DA69F0"/>
    <w:rsid w:val="675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/>
      <w:spacing w:line="240" w:lineRule="auto"/>
      <w:ind w:firstLine="0" w:firstLineChars="0"/>
      <w:jc w:val="center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2023-04-28T06:18:00Z</dcterms:created>
  <dc:creator>余思睿</dc:creator>
  <cp:lastModifiedBy>余思睿</cp:lastModifiedBy>
  <dcterms:modified xsi:type="dcterms:W3CDTF">2023-04-28T06:21:56Z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